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4BBD96BA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3C1C2C">
        <w:rPr>
          <w:rFonts w:ascii="Arial" w:hAnsi="Arial" w:cs="Arial"/>
          <w:b/>
          <w:szCs w:val="20"/>
        </w:rPr>
        <w:t>1</w:t>
      </w:r>
      <w:r w:rsidR="00FE7A12">
        <w:rPr>
          <w:rFonts w:ascii="Arial" w:hAnsi="Arial" w:cs="Arial"/>
          <w:b/>
          <w:szCs w:val="20"/>
        </w:rPr>
        <w:t>5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</w:t>
      </w:r>
      <w:r w:rsidR="003C1C2C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merytorycznego nr </w:t>
      </w:r>
      <w:r w:rsidR="00913A6C">
        <w:rPr>
          <w:rFonts w:ascii="Arial" w:hAnsi="Arial" w:cs="Arial"/>
          <w:b/>
          <w:szCs w:val="20"/>
        </w:rPr>
        <w:t>5 dla typu projektu 4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90FFA1D" w:rsidR="005721C6" w:rsidRDefault="00913A6C" w:rsidP="00913A6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Analiza potrzeb w zakresie ogólnodostępnej infrastruktury paliw alternatywnych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26505C63" w14:textId="621D5704" w:rsidR="00C327FB" w:rsidRPr="003D4165" w:rsidRDefault="0016230F" w:rsidP="000E625F">
      <w:pPr>
        <w:spacing w:line="276" w:lineRule="auto"/>
        <w:ind w:left="142"/>
        <w:rPr>
          <w:rFonts w:ascii="Arial" w:hAnsi="Arial" w:cs="Arial"/>
          <w:sz w:val="22"/>
          <w:szCs w:val="20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sectPr w:rsidR="00C327FB" w:rsidRPr="003D4165" w:rsidSect="000B2E08">
      <w:headerReference w:type="default" r:id="rId7"/>
      <w:pgSz w:w="11906" w:h="16838"/>
      <w:pgMar w:top="16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6D5D2DB6" w:rsidR="00660037" w:rsidRDefault="000B2E0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AAFA2B1" wp14:editId="4D4401BC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0B2E08"/>
    <w:rsid w:val="000E625F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1C2C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13A6C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  <w:rsid w:val="00FE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28A6-EB8E-4F34-BD36-229BE856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6</cp:revision>
  <cp:lastPrinted>2025-01-16T11:33:00Z</cp:lastPrinted>
  <dcterms:created xsi:type="dcterms:W3CDTF">2024-09-17T12:45:00Z</dcterms:created>
  <dcterms:modified xsi:type="dcterms:W3CDTF">2025-02-17T13:00:00Z</dcterms:modified>
</cp:coreProperties>
</file>